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06ED" w:rsidRPr="005206ED" w:rsidRDefault="005206ED" w:rsidP="005206ED">
      <w:pPr>
        <w:widowControl w:val="0"/>
        <w:autoSpaceDE w:val="0"/>
        <w:autoSpaceDN w:val="0"/>
        <w:adjustRightInd w:val="0"/>
        <w:jc w:val="center"/>
        <w:rPr>
          <w:rFonts w:ascii="Times" w:hAnsi="Times" w:cs="Times"/>
          <w:b/>
          <w:sz w:val="40"/>
          <w:szCs w:val="32"/>
          <w:u w:val="single"/>
        </w:rPr>
      </w:pPr>
      <w:r w:rsidRPr="005206ED">
        <w:rPr>
          <w:rFonts w:ascii="Times" w:hAnsi="Times" w:cs="Times"/>
          <w:b/>
          <w:sz w:val="40"/>
          <w:szCs w:val="32"/>
          <w:u w:val="single"/>
        </w:rPr>
        <w:t>Semantic Feature Analysis</w:t>
      </w:r>
    </w:p>
    <w:p w:rsidR="005206ED" w:rsidRPr="005206ED" w:rsidRDefault="005206ED" w:rsidP="005206ED">
      <w:pPr>
        <w:widowControl w:val="0"/>
        <w:autoSpaceDE w:val="0"/>
        <w:autoSpaceDN w:val="0"/>
        <w:adjustRightInd w:val="0"/>
        <w:rPr>
          <w:rFonts w:ascii="Times" w:hAnsi="Times" w:cs="Times"/>
          <w:sz w:val="22"/>
          <w:szCs w:val="32"/>
        </w:rPr>
      </w:pPr>
    </w:p>
    <w:p w:rsidR="005206ED" w:rsidRPr="005206ED" w:rsidRDefault="005206ED" w:rsidP="005206ED">
      <w:pPr>
        <w:widowControl w:val="0"/>
        <w:autoSpaceDE w:val="0"/>
        <w:autoSpaceDN w:val="0"/>
        <w:adjustRightInd w:val="0"/>
        <w:rPr>
          <w:rFonts w:ascii="Verdana" w:hAnsi="Verdana" w:cs="Verdana"/>
          <w:sz w:val="22"/>
        </w:rPr>
      </w:pPr>
      <w:r w:rsidRPr="005206ED">
        <w:rPr>
          <w:rFonts w:ascii="Verdana" w:hAnsi="Verdana" w:cs="Verdana"/>
          <w:sz w:val="22"/>
        </w:rPr>
        <w:t>The Semantic Feature Analysis strategy asks students to identify key words in a reading selection and relate these words to the major concepts of the text. Using a graphical matrix, students . . .</w:t>
      </w:r>
    </w:p>
    <w:p w:rsidR="005206ED" w:rsidRPr="005206ED" w:rsidRDefault="005206ED" w:rsidP="005206ED">
      <w:pPr>
        <w:widowControl w:val="0"/>
        <w:autoSpaceDE w:val="0"/>
        <w:autoSpaceDN w:val="0"/>
        <w:adjustRightInd w:val="0"/>
        <w:rPr>
          <w:rFonts w:ascii="Verdana" w:hAnsi="Verdana" w:cs="Verdana"/>
          <w:sz w:val="22"/>
        </w:rPr>
      </w:pPr>
    </w:p>
    <w:p w:rsidR="005206ED" w:rsidRPr="005206ED" w:rsidRDefault="005206ED" w:rsidP="005206ED">
      <w:pPr>
        <w:widowControl w:val="0"/>
        <w:numPr>
          <w:ilvl w:val="0"/>
          <w:numId w:val="1"/>
        </w:numPr>
        <w:tabs>
          <w:tab w:val="left" w:pos="220"/>
          <w:tab w:val="left" w:pos="720"/>
        </w:tabs>
        <w:autoSpaceDE w:val="0"/>
        <w:autoSpaceDN w:val="0"/>
        <w:adjustRightInd w:val="0"/>
        <w:ind w:hanging="720"/>
        <w:rPr>
          <w:rFonts w:ascii="Verdana" w:hAnsi="Verdana" w:cs="Verdana"/>
          <w:sz w:val="22"/>
        </w:rPr>
      </w:pPr>
      <w:r w:rsidRPr="005206ED">
        <w:rPr>
          <w:rFonts w:ascii="Verdana" w:hAnsi="Verdana" w:cs="Verdana"/>
          <w:sz w:val="22"/>
        </w:rPr>
        <w:t xml:space="preserve">List the key words of a reading selection. </w:t>
      </w:r>
    </w:p>
    <w:p w:rsidR="005206ED" w:rsidRPr="005206ED" w:rsidRDefault="005206ED" w:rsidP="005206ED">
      <w:pPr>
        <w:widowControl w:val="0"/>
        <w:numPr>
          <w:ilvl w:val="0"/>
          <w:numId w:val="1"/>
        </w:numPr>
        <w:tabs>
          <w:tab w:val="left" w:pos="220"/>
          <w:tab w:val="left" w:pos="720"/>
        </w:tabs>
        <w:autoSpaceDE w:val="0"/>
        <w:autoSpaceDN w:val="0"/>
        <w:adjustRightInd w:val="0"/>
        <w:ind w:hanging="720"/>
        <w:rPr>
          <w:rFonts w:ascii="Verdana" w:hAnsi="Verdana" w:cs="Verdana"/>
          <w:sz w:val="22"/>
        </w:rPr>
      </w:pPr>
      <w:r w:rsidRPr="005206ED">
        <w:rPr>
          <w:rFonts w:ascii="Verdana" w:hAnsi="Verdana" w:cs="Verdana"/>
          <w:sz w:val="22"/>
        </w:rPr>
        <w:t xml:space="preserve">Identify the meaning and properties of these key words. </w:t>
      </w:r>
    </w:p>
    <w:p w:rsidR="005206ED" w:rsidRPr="005206ED" w:rsidRDefault="005206ED" w:rsidP="005206ED">
      <w:pPr>
        <w:widowControl w:val="0"/>
        <w:numPr>
          <w:ilvl w:val="0"/>
          <w:numId w:val="1"/>
        </w:numPr>
        <w:tabs>
          <w:tab w:val="left" w:pos="220"/>
          <w:tab w:val="left" w:pos="720"/>
        </w:tabs>
        <w:autoSpaceDE w:val="0"/>
        <w:autoSpaceDN w:val="0"/>
        <w:adjustRightInd w:val="0"/>
        <w:ind w:hanging="720"/>
        <w:rPr>
          <w:rFonts w:ascii="Verdana" w:hAnsi="Verdana" w:cs="Verdana"/>
          <w:sz w:val="22"/>
        </w:rPr>
      </w:pPr>
      <w:r w:rsidRPr="005206ED">
        <w:rPr>
          <w:rFonts w:ascii="Verdana" w:hAnsi="Verdana" w:cs="Verdana"/>
          <w:sz w:val="22"/>
        </w:rPr>
        <w:t xml:space="preserve">Group key words into logical categories. </w:t>
      </w:r>
    </w:p>
    <w:p w:rsidR="005206ED" w:rsidRPr="005206ED" w:rsidRDefault="005206ED" w:rsidP="005206ED">
      <w:pPr>
        <w:widowControl w:val="0"/>
        <w:numPr>
          <w:ilvl w:val="0"/>
          <w:numId w:val="1"/>
        </w:numPr>
        <w:tabs>
          <w:tab w:val="left" w:pos="220"/>
          <w:tab w:val="left" w:pos="720"/>
        </w:tabs>
        <w:autoSpaceDE w:val="0"/>
        <w:autoSpaceDN w:val="0"/>
        <w:adjustRightInd w:val="0"/>
        <w:ind w:hanging="720"/>
        <w:rPr>
          <w:rFonts w:ascii="Verdana" w:hAnsi="Verdana" w:cs="Verdana"/>
          <w:sz w:val="22"/>
        </w:rPr>
      </w:pPr>
      <w:r w:rsidRPr="005206ED">
        <w:rPr>
          <w:rFonts w:ascii="Verdana" w:hAnsi="Verdana" w:cs="Verdana"/>
          <w:sz w:val="22"/>
        </w:rPr>
        <w:t>Relate the words (and categories) to one another.</w:t>
      </w:r>
    </w:p>
    <w:p w:rsidR="005206ED" w:rsidRPr="005206ED" w:rsidRDefault="005206ED" w:rsidP="005206ED">
      <w:pPr>
        <w:widowControl w:val="0"/>
        <w:autoSpaceDE w:val="0"/>
        <w:autoSpaceDN w:val="0"/>
        <w:adjustRightInd w:val="0"/>
        <w:spacing w:after="240"/>
        <w:rPr>
          <w:rFonts w:ascii="Verdana" w:hAnsi="Verdana" w:cs="Verdana"/>
          <w:sz w:val="22"/>
        </w:rPr>
      </w:pPr>
      <w:r w:rsidRPr="005206ED">
        <w:rPr>
          <w:rFonts w:ascii="Verdana" w:hAnsi="Verdana" w:cs="Verdana"/>
          <w:sz w:val="22"/>
        </w:rPr>
        <w:t>This strategy makes special effort to draw on a student's past knowledge and experiences to define and relate the key terms.</w:t>
      </w:r>
    </w:p>
    <w:p w:rsidR="005206ED" w:rsidRPr="005206ED" w:rsidRDefault="005206ED" w:rsidP="005206ED">
      <w:pPr>
        <w:widowControl w:val="0"/>
        <w:autoSpaceDE w:val="0"/>
        <w:autoSpaceDN w:val="0"/>
        <w:adjustRightInd w:val="0"/>
        <w:spacing w:after="240"/>
        <w:rPr>
          <w:rFonts w:ascii="Verdana" w:hAnsi="Verdana" w:cs="Verdana"/>
          <w:sz w:val="22"/>
        </w:rPr>
      </w:pPr>
      <w:r w:rsidRPr="005206ED">
        <w:rPr>
          <w:rFonts w:ascii="Verdana" w:hAnsi="Verdana" w:cs="Verdana"/>
          <w:b/>
          <w:bCs/>
          <w:sz w:val="22"/>
        </w:rPr>
        <w:t>Steps to a Semantic Feature Analysis:</w:t>
      </w:r>
    </w:p>
    <w:p w:rsidR="005206ED" w:rsidRPr="005206ED" w:rsidRDefault="005206ED" w:rsidP="005206ED">
      <w:pPr>
        <w:widowControl w:val="0"/>
        <w:numPr>
          <w:ilvl w:val="0"/>
          <w:numId w:val="2"/>
        </w:numPr>
        <w:tabs>
          <w:tab w:val="left" w:pos="220"/>
          <w:tab w:val="left" w:pos="720"/>
        </w:tabs>
        <w:autoSpaceDE w:val="0"/>
        <w:autoSpaceDN w:val="0"/>
        <w:adjustRightInd w:val="0"/>
        <w:ind w:hanging="720"/>
        <w:rPr>
          <w:rFonts w:ascii="Verdana" w:hAnsi="Verdana" w:cs="Verdana"/>
          <w:sz w:val="22"/>
        </w:rPr>
      </w:pPr>
      <w:r w:rsidRPr="005206ED">
        <w:rPr>
          <w:rFonts w:ascii="Verdana" w:hAnsi="Verdana" w:cs="Verdana"/>
          <w:sz w:val="22"/>
        </w:rPr>
        <w:t xml:space="preserve">Select a topic or concept from a reading selection for student analysis. Introduce the Semantic Feature Analysis graphical organizer (see below) as a tool for recording reading observations. </w:t>
      </w:r>
    </w:p>
    <w:p w:rsidR="005206ED" w:rsidRPr="005206ED" w:rsidRDefault="005206ED" w:rsidP="005206ED">
      <w:pPr>
        <w:widowControl w:val="0"/>
        <w:numPr>
          <w:ilvl w:val="0"/>
          <w:numId w:val="2"/>
        </w:numPr>
        <w:tabs>
          <w:tab w:val="left" w:pos="220"/>
          <w:tab w:val="left" w:pos="720"/>
        </w:tabs>
        <w:autoSpaceDE w:val="0"/>
        <w:autoSpaceDN w:val="0"/>
        <w:adjustRightInd w:val="0"/>
        <w:ind w:hanging="720"/>
        <w:rPr>
          <w:rFonts w:ascii="Verdana" w:hAnsi="Verdana" w:cs="Verdana"/>
          <w:sz w:val="22"/>
        </w:rPr>
      </w:pPr>
      <w:r w:rsidRPr="005206ED">
        <w:rPr>
          <w:rFonts w:ascii="Verdana" w:hAnsi="Verdana" w:cs="Verdana"/>
          <w:sz w:val="22"/>
        </w:rPr>
        <w:t xml:space="preserve">Help students list key vocabulary words related to the topic down the left hand column of the chart. Next, assist students in listing the properties or features of the topic across the top row of the chart. </w:t>
      </w:r>
    </w:p>
    <w:p w:rsidR="005206ED" w:rsidRPr="005206ED" w:rsidRDefault="005206ED" w:rsidP="005206ED">
      <w:pPr>
        <w:widowControl w:val="0"/>
        <w:numPr>
          <w:ilvl w:val="0"/>
          <w:numId w:val="2"/>
        </w:numPr>
        <w:tabs>
          <w:tab w:val="left" w:pos="220"/>
          <w:tab w:val="left" w:pos="720"/>
        </w:tabs>
        <w:autoSpaceDE w:val="0"/>
        <w:autoSpaceDN w:val="0"/>
        <w:adjustRightInd w:val="0"/>
        <w:ind w:hanging="720"/>
        <w:rPr>
          <w:rFonts w:ascii="Verdana" w:hAnsi="Verdana" w:cs="Verdana"/>
          <w:sz w:val="22"/>
        </w:rPr>
      </w:pPr>
      <w:r w:rsidRPr="005206ED">
        <w:rPr>
          <w:rFonts w:ascii="Verdana" w:hAnsi="Verdana" w:cs="Verdana"/>
          <w:sz w:val="22"/>
        </w:rPr>
        <w:t xml:space="preserve">Once the matrix is complete, review all the words and properties with the students and have them carefully read the text selection. </w:t>
      </w:r>
    </w:p>
    <w:p w:rsidR="005206ED" w:rsidRPr="005206ED" w:rsidRDefault="005206ED" w:rsidP="005206ED">
      <w:pPr>
        <w:widowControl w:val="0"/>
        <w:numPr>
          <w:ilvl w:val="0"/>
          <w:numId w:val="2"/>
        </w:numPr>
        <w:tabs>
          <w:tab w:val="left" w:pos="220"/>
          <w:tab w:val="left" w:pos="720"/>
        </w:tabs>
        <w:autoSpaceDE w:val="0"/>
        <w:autoSpaceDN w:val="0"/>
        <w:adjustRightInd w:val="0"/>
        <w:ind w:hanging="720"/>
        <w:rPr>
          <w:rFonts w:ascii="Verdana" w:hAnsi="Verdana" w:cs="Verdana"/>
          <w:sz w:val="22"/>
        </w:rPr>
      </w:pPr>
      <w:r w:rsidRPr="005206ED">
        <w:rPr>
          <w:rFonts w:ascii="Verdana" w:hAnsi="Verdana" w:cs="Verdana"/>
          <w:sz w:val="22"/>
        </w:rPr>
        <w:t xml:space="preserve">While reading, students place check marks in the matrix when a vocabulary word reinforces one of the properties of the topic. </w:t>
      </w:r>
    </w:p>
    <w:p w:rsidR="005206ED" w:rsidRPr="005206ED" w:rsidRDefault="005206ED" w:rsidP="005206ED">
      <w:pPr>
        <w:widowControl w:val="0"/>
        <w:numPr>
          <w:ilvl w:val="0"/>
          <w:numId w:val="2"/>
        </w:numPr>
        <w:tabs>
          <w:tab w:val="left" w:pos="220"/>
          <w:tab w:val="left" w:pos="720"/>
        </w:tabs>
        <w:autoSpaceDE w:val="0"/>
        <w:autoSpaceDN w:val="0"/>
        <w:adjustRightInd w:val="0"/>
        <w:ind w:hanging="720"/>
        <w:rPr>
          <w:rFonts w:ascii="Verdana" w:hAnsi="Verdana" w:cs="Verdana"/>
          <w:sz w:val="22"/>
        </w:rPr>
      </w:pPr>
      <w:r w:rsidRPr="005206ED">
        <w:rPr>
          <w:rFonts w:ascii="Verdana" w:hAnsi="Verdana" w:cs="Verdana"/>
          <w:sz w:val="22"/>
        </w:rPr>
        <w:t>After reading and completing the matrix, have students share their observations. Encourage discussion about differing results. Ask students to identify which vocabulary words best communicate the essential properties of the topic.</w:t>
      </w:r>
    </w:p>
    <w:p w:rsidR="005206ED" w:rsidRDefault="005206ED" w:rsidP="005206ED">
      <w:pPr>
        <w:widowControl w:val="0"/>
        <w:tabs>
          <w:tab w:val="left" w:pos="220"/>
          <w:tab w:val="left" w:pos="720"/>
        </w:tabs>
        <w:autoSpaceDE w:val="0"/>
        <w:autoSpaceDN w:val="0"/>
        <w:adjustRightInd w:val="0"/>
        <w:ind w:left="720"/>
        <w:rPr>
          <w:rFonts w:ascii="Verdana" w:hAnsi="Verdana" w:cs="Verdana"/>
        </w:rPr>
      </w:pPr>
    </w:p>
    <w:p w:rsidR="005206ED" w:rsidRPr="005206ED" w:rsidRDefault="005206ED" w:rsidP="005206ED">
      <w:pPr>
        <w:widowControl w:val="0"/>
        <w:tabs>
          <w:tab w:val="left" w:pos="220"/>
          <w:tab w:val="left" w:pos="720"/>
        </w:tabs>
        <w:autoSpaceDE w:val="0"/>
        <w:autoSpaceDN w:val="0"/>
        <w:adjustRightInd w:val="0"/>
        <w:ind w:left="720"/>
        <w:rPr>
          <w:rFonts w:ascii="Verdana" w:hAnsi="Verdana" w:cs="Verdana"/>
          <w:b/>
        </w:rPr>
      </w:pPr>
      <w:r w:rsidRPr="005206ED">
        <w:rPr>
          <w:rFonts w:ascii="Verdana" w:hAnsi="Verdana" w:cs="Verdana"/>
          <w:b/>
        </w:rPr>
        <w:t>Example:</w:t>
      </w:r>
    </w:p>
    <w:p w:rsidR="000D54B0" w:rsidRPr="005206ED" w:rsidRDefault="005206ED" w:rsidP="005206ED">
      <w:pPr>
        <w:widowControl w:val="0"/>
        <w:tabs>
          <w:tab w:val="left" w:pos="220"/>
          <w:tab w:val="left" w:pos="720"/>
        </w:tabs>
        <w:autoSpaceDE w:val="0"/>
        <w:autoSpaceDN w:val="0"/>
        <w:adjustRightInd w:val="0"/>
        <w:ind w:left="720"/>
        <w:rPr>
          <w:rFonts w:ascii="Verdana" w:hAnsi="Verdana" w:cs="Verdana"/>
        </w:rPr>
      </w:pPr>
      <w:r w:rsidRPr="005206ED">
        <w:drawing>
          <wp:inline distT="0" distB="0" distL="0" distR="0">
            <wp:extent cx="3627120" cy="3022600"/>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27120" cy="3022600"/>
                    </a:xfrm>
                    <a:prstGeom prst="rect">
                      <a:avLst/>
                    </a:prstGeom>
                    <a:noFill/>
                    <a:ln w="9525">
                      <a:noFill/>
                      <a:miter lim="800000"/>
                      <a:headEnd/>
                      <a:tailEnd/>
                    </a:ln>
                  </pic:spPr>
                </pic:pic>
              </a:graphicData>
            </a:graphic>
          </wp:inline>
        </w:drawing>
      </w:r>
    </w:p>
    <w:sectPr w:rsidR="000D54B0" w:rsidRPr="005206ED" w:rsidSect="005206ED">
      <w:pgSz w:w="12240" w:h="15840"/>
      <w:pgMar w:top="1080" w:right="1152" w:bottom="108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06ED"/>
    <w:rsid w:val="005206E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cp:lastModifiedBy>Danielle</cp:lastModifiedBy>
  <cp:revision>1</cp:revision>
  <dcterms:created xsi:type="dcterms:W3CDTF">2011-02-24T23:13:00Z</dcterms:created>
  <dcterms:modified xsi:type="dcterms:W3CDTF">2011-02-24T23:15:00Z</dcterms:modified>
</cp:coreProperties>
</file>